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24DE4B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223975">
        <w:rPr>
          <w:rFonts w:eastAsia="Arial Unicode MS"/>
          <w:b/>
        </w:rPr>
        <w:t>7</w:t>
      </w:r>
    </w:p>
    <w:p w14:paraId="087816C3" w14:textId="2CDC0DA2"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223975">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E6F8A8B" w14:textId="77777777" w:rsidR="00223975" w:rsidRPr="00223975" w:rsidRDefault="00223975" w:rsidP="008F331D">
      <w:pPr>
        <w:jc w:val="both"/>
        <w:rPr>
          <w:rFonts w:eastAsia="Calibri"/>
          <w:b/>
          <w:bCs/>
          <w:iCs/>
          <w:lang w:eastAsia="en-US"/>
        </w:rPr>
      </w:pPr>
      <w:r w:rsidRPr="00223975">
        <w:rPr>
          <w:rFonts w:eastAsia="Calibri"/>
          <w:b/>
          <w:bCs/>
          <w:iCs/>
          <w:lang w:eastAsia="en-US"/>
        </w:rPr>
        <w:t>Par SIA “Cesvaines komunālie pakalpojumi” reorganizāciju</w:t>
      </w:r>
    </w:p>
    <w:p w14:paraId="04E75144" w14:textId="77777777" w:rsidR="00223975" w:rsidRPr="00223975" w:rsidRDefault="00223975" w:rsidP="008F331D">
      <w:pPr>
        <w:jc w:val="both"/>
        <w:rPr>
          <w:i/>
        </w:rPr>
      </w:pPr>
    </w:p>
    <w:p w14:paraId="6557FE06" w14:textId="4C73222E" w:rsidR="00223975" w:rsidRPr="00223975" w:rsidRDefault="00223975" w:rsidP="008F331D">
      <w:pPr>
        <w:jc w:val="both"/>
      </w:pPr>
      <w:bookmarkStart w:id="146" w:name="p143"/>
      <w:bookmarkStart w:id="147" w:name="p-554619"/>
      <w:bookmarkEnd w:id="146"/>
      <w:bookmarkEnd w:id="147"/>
      <w:r w:rsidRPr="00223975">
        <w:t xml:space="preserve">     </w:t>
      </w:r>
      <w:r w:rsidR="00BF2482">
        <w:tab/>
      </w:r>
      <w:r w:rsidRPr="00223975">
        <w:t>Madonas novada pašvaldībai (turpmāk – pašvaldība) pieder visas SIA “Cesvaines komunālie pakalpojumi”, reģistrācijas Nr.</w:t>
      </w:r>
      <w:r w:rsidR="00BF2482">
        <w:t> </w:t>
      </w:r>
      <w:r w:rsidRPr="00223975">
        <w:t xml:space="preserve">47103000106 (turpmāk – Sabiedrība), kapitāla daļas. </w:t>
      </w:r>
    </w:p>
    <w:p w14:paraId="04D537BC" w14:textId="44F8DFC6" w:rsidR="00223975" w:rsidRPr="008F331D" w:rsidRDefault="00223975" w:rsidP="008F331D">
      <w:pPr>
        <w:jc w:val="both"/>
        <w:rPr>
          <w:shd w:val="clear" w:color="auto" w:fill="FFFFFF"/>
        </w:rPr>
      </w:pPr>
      <w:r w:rsidRPr="00223975">
        <w:rPr>
          <w:bCs/>
        </w:rPr>
        <w:t xml:space="preserve">     </w:t>
      </w:r>
      <w:r w:rsidR="00BF2482">
        <w:rPr>
          <w:bCs/>
        </w:rPr>
        <w:tab/>
      </w:r>
      <w:r w:rsidRPr="00223975">
        <w:rPr>
          <w:bCs/>
        </w:rPr>
        <w:t xml:space="preserve">Saskaņā ar Sabiedrības statūtiem </w:t>
      </w:r>
      <w:r w:rsidRPr="00223975">
        <w:rPr>
          <w:shd w:val="clear" w:color="auto" w:fill="FFFFFF"/>
        </w:rPr>
        <w:t>komercdarbības veidi (NACE 2 klasifikators) ir ūd</w:t>
      </w:r>
      <w:r w:rsidRPr="00223975">
        <w:rPr>
          <w:iCs/>
          <w:shd w:val="clear" w:color="auto" w:fill="FFFFFF"/>
        </w:rPr>
        <w:t>ens</w:t>
      </w:r>
      <w:r w:rsidRPr="00223975">
        <w:rPr>
          <w:shd w:val="clear" w:color="auto" w:fill="FFFFFF"/>
        </w:rPr>
        <w:t xml:space="preserve"> ieguve, attīrīšana un apgāde (36.00); Notekūdeņu savākšana un attīrīšana (37.00); Ūdens apgādes sistēmu būvniecība (42.21); Ēku nojaukšana (43.11); Apmetēju darbi (43.31); Grīdas un sienu apdare (43.33); Krāsotāju un stiklinieku darbi (43.34); Jumta seguma uzklāšana (43.91); Citur neklasificēti specializēti būvdarbi (43.99); Individuālie kravu pārvadāšanas pakalpojumi (49.42); Sava nekustamā īpašuma pirkšana un pārdošana (68.10); Sava vai nomāta nekustamā īpašuma izīrēšana un pārvaldīšana (68.20); Starpniecība darbībā ar nekustamo īpašumu (68.31); Nekustamo īpašumu pārvaldīšana par atlīdzību vai uz līguma pamata (68.32); Ēku uzturēšanas un ekspluatācijas darbības (81.10); Cita veida tīrīšanas darbības (ielu, ceļu attīrīšana no sniega, ledus…) (81.29); Fiziskās labsajūtas uzlabošanas pakalpojums (96.04); Citur neklasificēti individuālie pakalpojumi (96.09).</w:t>
      </w:r>
    </w:p>
    <w:p w14:paraId="4585CD9B" w14:textId="1AAD7F2E" w:rsidR="00223975" w:rsidRPr="008F331D" w:rsidRDefault="00223975" w:rsidP="008F331D">
      <w:pPr>
        <w:jc w:val="both"/>
        <w:rPr>
          <w:shd w:val="clear" w:color="auto" w:fill="FFFFFF"/>
        </w:rPr>
      </w:pPr>
      <w:r w:rsidRPr="00223975">
        <w:rPr>
          <w:bCs/>
        </w:rPr>
        <w:t xml:space="preserve">     </w:t>
      </w:r>
      <w:r w:rsidR="00BF2482">
        <w:rPr>
          <w:bCs/>
        </w:rPr>
        <w:tab/>
      </w:r>
      <w:r w:rsidRPr="00223975">
        <w:rPr>
          <w:bCs/>
        </w:rPr>
        <w:t xml:space="preserve">Taču Sabiedrība reāli darbību veic tikai attiecībā uz </w:t>
      </w:r>
      <w:r w:rsidRPr="00223975">
        <w:rPr>
          <w:shd w:val="clear" w:color="auto" w:fill="FFFFFF"/>
        </w:rPr>
        <w:t>ūd</w:t>
      </w:r>
      <w:r w:rsidRPr="00223975">
        <w:rPr>
          <w:iCs/>
          <w:shd w:val="clear" w:color="auto" w:fill="FFFFFF"/>
        </w:rPr>
        <w:t>ens</w:t>
      </w:r>
      <w:r w:rsidRPr="00223975">
        <w:rPr>
          <w:shd w:val="clear" w:color="auto" w:fill="FFFFFF"/>
        </w:rPr>
        <w:t xml:space="preserve"> ieguvi, attīrīšanu un apgādi Cesvaines apvienības pārvaldes administratīvajā teritorijā.</w:t>
      </w:r>
    </w:p>
    <w:p w14:paraId="2308996E" w14:textId="0CF4CFCC" w:rsidR="00223975" w:rsidRPr="00223975" w:rsidRDefault="00223975" w:rsidP="008F331D">
      <w:pPr>
        <w:jc w:val="both"/>
      </w:pPr>
      <w:r w:rsidRPr="00223975">
        <w:t xml:space="preserve">     </w:t>
      </w:r>
      <w:r w:rsidR="00BF2482">
        <w:tab/>
      </w:r>
      <w:r w:rsidRPr="00223975">
        <w:t xml:space="preserve">Savukārt, lai nodrošinātu ūdensapgādes pakalpojuma sniegšanas efektivitāti Madonas novada Cesvaines apvienības pārvaldes administratīvajā teritorijā, ir nolemts, ka ūdens </w:t>
      </w:r>
      <w:r w:rsidRPr="00223975">
        <w:rPr>
          <w:shd w:val="clear" w:color="auto" w:fill="FFFFFF"/>
        </w:rPr>
        <w:t>ieguvi, attīrīšanu un apgādi</w:t>
      </w:r>
      <w:r w:rsidRPr="00223975">
        <w:t xml:space="preserve"> iepriekšminētajā teritorijā veiks pašvaldības SIA “Madonas ūdens”. Tāpēc ir nepieciešams veikt Sabiedrības reorganizāciju.</w:t>
      </w:r>
    </w:p>
    <w:p w14:paraId="1BF2DF0A" w14:textId="48FE52DF" w:rsidR="00223975" w:rsidRPr="00223975" w:rsidRDefault="00223975" w:rsidP="008F331D">
      <w:pPr>
        <w:jc w:val="both"/>
      </w:pPr>
      <w:r w:rsidRPr="00223975">
        <w:t xml:space="preserve">     </w:t>
      </w:r>
      <w:r w:rsidR="00BF2482">
        <w:tab/>
      </w:r>
      <w:r w:rsidRPr="00223975">
        <w:t xml:space="preserve">Publiskas personas kapitāla daļu un kapitālsabiedrību pārvaldības likums (turpmāk – Likums) </w:t>
      </w:r>
      <w:r w:rsidRPr="00223975">
        <w:rPr>
          <w:bCs/>
        </w:rPr>
        <w:t>127.</w:t>
      </w:r>
      <w:r w:rsidR="00BF2482">
        <w:rPr>
          <w:bCs/>
        </w:rPr>
        <w:t> </w:t>
      </w:r>
      <w:r w:rsidRPr="00223975">
        <w:rPr>
          <w:bCs/>
        </w:rPr>
        <w:t>panta pirmā daļa nosaka, ka p</w:t>
      </w:r>
      <w:r w:rsidRPr="00223975">
        <w:t>ubliskas personas augstākā lēmējinstitūcija pieņem lēmumu par publiskas personas kapitālsabiedrību apvienošanas uzsākšanu.</w:t>
      </w:r>
    </w:p>
    <w:p w14:paraId="2DAC5000" w14:textId="26D46E8C" w:rsidR="00223975" w:rsidRPr="008F331D" w:rsidRDefault="00223975" w:rsidP="008F331D">
      <w:pPr>
        <w:jc w:val="both"/>
      </w:pPr>
      <w:r w:rsidRPr="00223975">
        <w:t xml:space="preserve">     </w:t>
      </w:r>
      <w:r w:rsidR="00BF2482">
        <w:tab/>
      </w:r>
      <w:r w:rsidRPr="00223975">
        <w:t xml:space="preserve">Likuma </w:t>
      </w:r>
      <w:r w:rsidRPr="00223975">
        <w:rPr>
          <w:bCs/>
        </w:rPr>
        <w:t>127. panta otrā daļa nosaka, ka</w:t>
      </w:r>
      <w:r w:rsidRPr="00223975">
        <w:t xml:space="preserve"> šā panta pirmajā daļā minētajā lēmumā nosaka iegūstošās sabiedrības kapitāla daļu turētāju. </w:t>
      </w:r>
    </w:p>
    <w:p w14:paraId="4685C9C5" w14:textId="6576019E" w:rsidR="00223975" w:rsidRPr="00223975" w:rsidRDefault="00223975" w:rsidP="008F331D">
      <w:pPr>
        <w:jc w:val="both"/>
      </w:pPr>
      <w:r w:rsidRPr="00223975">
        <w:t xml:space="preserve">     </w:t>
      </w:r>
      <w:r w:rsidR="00BF2482">
        <w:tab/>
      </w:r>
      <w:r w:rsidRPr="00223975">
        <w:t>Komerclikuma 335.</w:t>
      </w:r>
      <w:r w:rsidR="00BF2482">
        <w:t> </w:t>
      </w:r>
      <w:r w:rsidRPr="00223975">
        <w:t xml:space="preserve">panta pirmā daļa nosaka, ka </w:t>
      </w:r>
      <w:r w:rsidRPr="00223975">
        <w:rPr>
          <w:iCs/>
        </w:rPr>
        <w:t>sabiedrību apvienošana var notikt kā pievienošana vai saplūšana</w:t>
      </w:r>
      <w:r w:rsidRPr="00223975">
        <w:t xml:space="preserve">. </w:t>
      </w:r>
    </w:p>
    <w:p w14:paraId="159A6622" w14:textId="7B28F013" w:rsidR="00223975" w:rsidRPr="00223975" w:rsidRDefault="00223975" w:rsidP="008F331D">
      <w:pPr>
        <w:jc w:val="both"/>
      </w:pPr>
      <w:r w:rsidRPr="00223975">
        <w:t xml:space="preserve">     </w:t>
      </w:r>
      <w:r w:rsidR="00BF2482">
        <w:tab/>
      </w:r>
      <w:r w:rsidRPr="00223975">
        <w:t>Komerclikuma 335.</w:t>
      </w:r>
      <w:r w:rsidR="00BF2482">
        <w:t> </w:t>
      </w:r>
      <w:r w:rsidRPr="00223975">
        <w:t xml:space="preserve">panta otrā daļa nosaka, ka </w:t>
      </w:r>
      <w:r w:rsidRPr="00223975">
        <w:rPr>
          <w:iCs/>
        </w:rPr>
        <w:t>p</w:t>
      </w:r>
      <w:r w:rsidRPr="00223975">
        <w:t xml:space="preserve">ievienošana ir process, kurā viena vai vairākas sabiedrības (pievienojamās sabiedrības) nodod visu savu mantu citai jau pastāvošai sabiedrībai (iegūstošā sabiedrība). </w:t>
      </w:r>
    </w:p>
    <w:p w14:paraId="5F4CD87A" w14:textId="15F2FBAC" w:rsidR="00223975" w:rsidRPr="00223975" w:rsidRDefault="00223975" w:rsidP="008F331D">
      <w:pPr>
        <w:jc w:val="both"/>
      </w:pPr>
      <w:r w:rsidRPr="00223975">
        <w:t xml:space="preserve">     </w:t>
      </w:r>
      <w:r w:rsidR="00BF2482">
        <w:tab/>
      </w:r>
      <w:r w:rsidRPr="00223975">
        <w:t>Komerclikuma 335.</w:t>
      </w:r>
      <w:r w:rsidR="00BF2482">
        <w:t> </w:t>
      </w:r>
      <w:r w:rsidRPr="00223975">
        <w:t xml:space="preserve">panta ceturtā daļa nosaka, ka </w:t>
      </w:r>
      <w:r w:rsidRPr="00223975">
        <w:rPr>
          <w:iCs/>
        </w:rPr>
        <w:t>apvienošanas gadījumā pievienojamā sabiedrība beidz pastāvēt bez likvidācijas procesa.</w:t>
      </w:r>
      <w:r w:rsidRPr="00223975">
        <w:t xml:space="preserve"> </w:t>
      </w:r>
    </w:p>
    <w:p w14:paraId="2219AE04" w14:textId="25ADC296" w:rsidR="00223975" w:rsidRPr="00223975" w:rsidRDefault="00223975" w:rsidP="008F331D">
      <w:pPr>
        <w:jc w:val="both"/>
        <w:rPr>
          <w:iCs/>
        </w:rPr>
      </w:pPr>
      <w:r w:rsidRPr="00223975">
        <w:t xml:space="preserve">     </w:t>
      </w:r>
      <w:r w:rsidR="00BF2482">
        <w:tab/>
      </w:r>
      <w:r w:rsidRPr="00223975">
        <w:t>Komerclikuma 335.</w:t>
      </w:r>
      <w:r w:rsidR="00BF2482">
        <w:t> </w:t>
      </w:r>
      <w:r w:rsidRPr="00223975">
        <w:t xml:space="preserve">panta piektā daļa nosaka, ka </w:t>
      </w:r>
      <w:r w:rsidRPr="00223975">
        <w:rPr>
          <w:iCs/>
        </w:rPr>
        <w:t>apvienošanas gadījumā pievienojamās sabiedrības tiesības un saistības pāriet iegūstošajai sabiedrībai.</w:t>
      </w:r>
    </w:p>
    <w:p w14:paraId="4E35A64B" w14:textId="160ECAD0" w:rsidR="00223975" w:rsidRPr="00223975" w:rsidRDefault="00223975" w:rsidP="008F331D">
      <w:pPr>
        <w:jc w:val="both"/>
      </w:pPr>
      <w:r w:rsidRPr="00223975">
        <w:t xml:space="preserve">     </w:t>
      </w:r>
      <w:r w:rsidR="00BF2482">
        <w:tab/>
      </w:r>
      <w:r w:rsidRPr="00223975">
        <w:t>Komerclikuma 335.</w:t>
      </w:r>
      <w:r w:rsidR="00BF2482">
        <w:t> </w:t>
      </w:r>
      <w:r w:rsidRPr="00223975">
        <w:t>panta sestā daļa nosaka, ka apvienošanas gadījumā pievienojamās sabiedrības dalībnieki kļūst par iegūstošās sabiedrības dalībniekiem.</w:t>
      </w:r>
    </w:p>
    <w:p w14:paraId="7B397916" w14:textId="77777777" w:rsidR="00223975" w:rsidRPr="00223975" w:rsidRDefault="00223975" w:rsidP="008F331D">
      <w:pPr>
        <w:ind w:firstLine="720"/>
        <w:jc w:val="both"/>
      </w:pPr>
    </w:p>
    <w:p w14:paraId="52609A07" w14:textId="3EA1B57E" w:rsidR="00223975" w:rsidRPr="00223975" w:rsidRDefault="00223975" w:rsidP="008F331D">
      <w:pPr>
        <w:jc w:val="both"/>
      </w:pPr>
      <w:r w:rsidRPr="00223975">
        <w:t xml:space="preserve">     </w:t>
      </w:r>
      <w:r w:rsidR="00BF2482">
        <w:tab/>
      </w:r>
      <w:r w:rsidRPr="00223975">
        <w:t>Pašvaldību likuma 10.</w:t>
      </w:r>
      <w:r w:rsidR="00BF2482">
        <w:t> </w:t>
      </w:r>
      <w:r w:rsidRPr="00223975">
        <w:t>panta pirmās daļas 9. un 21. punkts nosaka, ka tikai pašvaldības domes kompetencē ir lemt par kapitālsabiedrību reorganizāciju un pieņemt lēmumus citos ārējos normatīvajos aktos paredzētajos gadījumos.</w:t>
      </w:r>
    </w:p>
    <w:p w14:paraId="1AA09CB6" w14:textId="4838CB5C" w:rsidR="00C519F8" w:rsidRDefault="008F331D" w:rsidP="008F331D">
      <w:pPr>
        <w:ind w:firstLine="709"/>
        <w:jc w:val="both"/>
        <w:rPr>
          <w:lang w:eastAsia="lo-LA" w:bidi="lo-LA"/>
        </w:rPr>
      </w:pPr>
      <w:r>
        <w:rPr>
          <w:rFonts w:eastAsia="Calibri"/>
          <w:lang w:eastAsia="en-US"/>
        </w:rPr>
        <w:t>P</w:t>
      </w:r>
      <w:r w:rsidR="00223975" w:rsidRPr="00223975">
        <w:rPr>
          <w:rFonts w:eastAsia="Calibri"/>
          <w:lang w:eastAsia="en-US"/>
        </w:rPr>
        <w:t xml:space="preserve">amatojoties uz </w:t>
      </w:r>
      <w:r w:rsidR="00223975" w:rsidRPr="00223975">
        <w:t xml:space="preserve">Publiskas personas kapitāla daļu un kapitālsabiedrību pārvaldības likuma </w:t>
      </w:r>
      <w:r w:rsidR="00223975" w:rsidRPr="00223975">
        <w:rPr>
          <w:bCs/>
        </w:rPr>
        <w:t xml:space="preserve">127. pantu un </w:t>
      </w:r>
      <w:r w:rsidR="00223975" w:rsidRPr="00223975">
        <w:t>Pašvaldību likuma 10.</w:t>
      </w:r>
      <w:r w:rsidR="00BF2482">
        <w:t> </w:t>
      </w:r>
      <w:r w:rsidR="00223975" w:rsidRPr="00223975">
        <w:t>panta pirmās daļas 9. punktu un 21.</w:t>
      </w:r>
      <w:r w:rsidR="00BF2482">
        <w:t> </w:t>
      </w:r>
      <w:r w:rsidR="00223975" w:rsidRPr="00223975">
        <w:t>punktu</w:t>
      </w:r>
      <w:r w:rsidR="00223975" w:rsidRPr="00223975">
        <w:rPr>
          <w:rFonts w:eastAsia="Calibri"/>
          <w:lang w:eastAsia="en-US"/>
        </w:rPr>
        <w:t xml:space="preserve">, </w:t>
      </w:r>
      <w:r w:rsidR="00223975" w:rsidRPr="000E47C6">
        <w:rPr>
          <w:rFonts w:eastAsia="Calibri"/>
          <w:lang w:bidi="lo-LA"/>
        </w:rPr>
        <w:t>ņemot vērā</w:t>
      </w:r>
      <w:r w:rsidR="00223975" w:rsidRPr="00EC3D6D">
        <w:t xml:space="preserve"> </w:t>
      </w:r>
      <w:r w:rsidR="00223975" w:rsidRPr="00EC3D6D">
        <w:rPr>
          <w:rFonts w:eastAsia="Calibri"/>
          <w:lang w:eastAsia="en-US"/>
        </w:rPr>
        <w:t xml:space="preserve">19.03.2024. </w:t>
      </w:r>
      <w:r w:rsidR="00223975" w:rsidRPr="00EC3D6D">
        <w:t xml:space="preserve">Finanšu un attīstības komitejas atzinumu, </w:t>
      </w:r>
      <w:r w:rsidR="00C519F8">
        <w:rPr>
          <w:lang w:eastAsia="lo-LA" w:bidi="lo-LA"/>
        </w:rPr>
        <w:t>atklāti balsojot</w:t>
      </w:r>
      <w:r w:rsidR="00C519F8">
        <w:rPr>
          <w:b/>
          <w:lang w:eastAsia="lo-LA" w:bidi="lo-LA"/>
        </w:rPr>
        <w:t xml:space="preserve">: PAR - </w:t>
      </w:r>
      <w:r w:rsidR="00C519F8">
        <w:rPr>
          <w:rFonts w:eastAsia="Calibri"/>
          <w:b/>
          <w:noProof/>
          <w:lang w:eastAsia="en-US"/>
        </w:rPr>
        <w:t>1</w:t>
      </w:r>
      <w:r w:rsidR="00EF2304">
        <w:rPr>
          <w:rFonts w:eastAsia="Calibri"/>
          <w:b/>
          <w:noProof/>
          <w:lang w:eastAsia="en-US"/>
        </w:rPr>
        <w:t>4</w:t>
      </w:r>
      <w:r w:rsidR="00C519F8">
        <w:rPr>
          <w:rFonts w:eastAsia="Calibri"/>
          <w:b/>
          <w:noProof/>
          <w:lang w:eastAsia="en-US"/>
        </w:rPr>
        <w:t xml:space="preserve"> </w:t>
      </w:r>
      <w:r w:rsidR="00C519F8">
        <w:rPr>
          <w:rFonts w:eastAsia="Calibri"/>
          <w:bCs/>
          <w:noProof/>
          <w:lang w:eastAsia="en-US"/>
        </w:rPr>
        <w:t>(</w:t>
      </w:r>
      <w:r w:rsidR="00C519F8">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C519F8">
        <w:rPr>
          <w:rFonts w:eastAsia="Calibri"/>
          <w:bCs/>
          <w:noProof/>
          <w:lang w:eastAsia="en-US"/>
        </w:rPr>
        <w:t xml:space="preserve">), </w:t>
      </w:r>
      <w:r w:rsidR="00C519F8">
        <w:rPr>
          <w:b/>
          <w:lang w:eastAsia="lo-LA" w:bidi="lo-LA"/>
        </w:rPr>
        <w:t xml:space="preserve">PRET </w:t>
      </w:r>
      <w:r w:rsidR="00EF2304">
        <w:rPr>
          <w:b/>
          <w:lang w:eastAsia="lo-LA" w:bidi="lo-LA"/>
        </w:rPr>
        <w:t>–</w:t>
      </w:r>
      <w:r w:rsidR="00C519F8">
        <w:rPr>
          <w:b/>
          <w:lang w:eastAsia="lo-LA" w:bidi="lo-LA"/>
        </w:rPr>
        <w:t xml:space="preserve"> </w:t>
      </w:r>
      <w:r w:rsidR="00EF2304">
        <w:rPr>
          <w:b/>
          <w:lang w:eastAsia="lo-LA" w:bidi="lo-LA"/>
        </w:rPr>
        <w:t xml:space="preserve">1 </w:t>
      </w:r>
      <w:r w:rsidR="00EF2304">
        <w:rPr>
          <w:bCs/>
          <w:lang w:eastAsia="lo-LA" w:bidi="lo-LA"/>
        </w:rPr>
        <w:t>(Sandra Maksimova)</w:t>
      </w:r>
      <w:r w:rsidR="00C519F8">
        <w:rPr>
          <w:b/>
          <w:lang w:eastAsia="lo-LA" w:bidi="lo-LA"/>
        </w:rPr>
        <w:t xml:space="preserve">, ATTURAS </w:t>
      </w:r>
      <w:r w:rsidR="00EF2304">
        <w:rPr>
          <w:b/>
          <w:lang w:eastAsia="lo-LA" w:bidi="lo-LA"/>
        </w:rPr>
        <w:t>–</w:t>
      </w:r>
      <w:r w:rsidR="00C519F8">
        <w:rPr>
          <w:b/>
          <w:lang w:eastAsia="lo-LA" w:bidi="lo-LA"/>
        </w:rPr>
        <w:t xml:space="preserve"> </w:t>
      </w:r>
      <w:r w:rsidR="00EF2304">
        <w:rPr>
          <w:b/>
          <w:lang w:eastAsia="lo-LA" w:bidi="lo-LA"/>
        </w:rPr>
        <w:t xml:space="preserve">1 </w:t>
      </w:r>
      <w:r w:rsidR="00EF2304">
        <w:rPr>
          <w:bCs/>
          <w:lang w:eastAsia="lo-LA" w:bidi="lo-LA"/>
        </w:rPr>
        <w:t>(Andris Sakne)</w:t>
      </w:r>
      <w:r w:rsidR="00C519F8">
        <w:rPr>
          <w:lang w:eastAsia="lo-LA" w:bidi="lo-LA"/>
        </w:rPr>
        <w:t xml:space="preserve">, Madonas novada pašvaldības dome </w:t>
      </w:r>
      <w:r w:rsidR="00C519F8">
        <w:rPr>
          <w:b/>
          <w:lang w:eastAsia="lo-LA" w:bidi="lo-LA"/>
        </w:rPr>
        <w:t>NOLEMJ</w:t>
      </w:r>
      <w:r w:rsidR="00C519F8">
        <w:rPr>
          <w:lang w:eastAsia="lo-LA" w:bidi="lo-LA"/>
        </w:rPr>
        <w:t>:</w:t>
      </w:r>
    </w:p>
    <w:p w14:paraId="67A2B912" w14:textId="1EA8C4D7" w:rsidR="00223975" w:rsidRPr="00223975" w:rsidRDefault="00223975" w:rsidP="008F331D">
      <w:pPr>
        <w:ind w:firstLine="709"/>
        <w:jc w:val="both"/>
      </w:pPr>
    </w:p>
    <w:p w14:paraId="68A2CA98" w14:textId="77777777" w:rsidR="00223975" w:rsidRPr="00223975" w:rsidRDefault="00223975" w:rsidP="008F331D">
      <w:pPr>
        <w:numPr>
          <w:ilvl w:val="0"/>
          <w:numId w:val="42"/>
        </w:numPr>
        <w:ind w:left="709" w:hanging="709"/>
        <w:contextualSpacing/>
        <w:jc w:val="both"/>
        <w:rPr>
          <w:rFonts w:eastAsia="Calibri"/>
          <w:lang w:eastAsia="en-US"/>
        </w:rPr>
      </w:pPr>
      <w:r w:rsidRPr="00223975">
        <w:rPr>
          <w:rFonts w:eastAsia="Calibri"/>
          <w:lang w:eastAsia="en-US"/>
        </w:rPr>
        <w:t>Uzsākt pašvaldības SIA “Cesvaines komunālie pakalpojumi” (reģistrācijas                       Nr. 47103000106) reorganizācijas procesu pievienošanas ceļā, nosakot, ka pašvaldības SIA “Cesvaines komunālie pakalpojumi” (turpmāk – Pievienojamā sabiedrība) pievienošanā iegūstošā sabiedrība ir pašvaldības SIA “Madonas ūdens” (reģistrācijas Nr. 47103001173) (turpmāk – Iegūstošā sabiedrība).</w:t>
      </w:r>
    </w:p>
    <w:p w14:paraId="48430801" w14:textId="77777777" w:rsidR="00223975" w:rsidRPr="00223975" w:rsidRDefault="00223975" w:rsidP="008F331D">
      <w:pPr>
        <w:numPr>
          <w:ilvl w:val="0"/>
          <w:numId w:val="42"/>
        </w:numPr>
        <w:ind w:left="709" w:hanging="709"/>
        <w:contextualSpacing/>
        <w:jc w:val="both"/>
        <w:rPr>
          <w:rFonts w:eastAsia="Calibri"/>
          <w:lang w:eastAsia="en-US"/>
        </w:rPr>
      </w:pPr>
      <w:r w:rsidRPr="00223975">
        <w:rPr>
          <w:rFonts w:eastAsia="Calibri"/>
          <w:lang w:eastAsia="en-US"/>
        </w:rPr>
        <w:t xml:space="preserve">Noteikt sekojošu reorganizācijas nosacījumu – Iegūstošā sabiedrība palielinās pamatkapitālu, ieguldot Iegūstošās sabiedrības pamatkapitālā mantisko ieguldījumu – Pievienojamās sabiedrības pamatkapitālā esošo mantu, pretī saņemot attiecīgu jaunu daļu skaitu. </w:t>
      </w:r>
    </w:p>
    <w:p w14:paraId="4E96DF96" w14:textId="77777777" w:rsidR="00223975" w:rsidRPr="00223975" w:rsidRDefault="00223975" w:rsidP="008F331D">
      <w:pPr>
        <w:numPr>
          <w:ilvl w:val="0"/>
          <w:numId w:val="42"/>
        </w:numPr>
        <w:ind w:left="709" w:hanging="709"/>
        <w:contextualSpacing/>
        <w:jc w:val="both"/>
        <w:rPr>
          <w:rFonts w:eastAsia="Calibri"/>
          <w:lang w:eastAsia="en-US"/>
        </w:rPr>
      </w:pPr>
      <w:r w:rsidRPr="00223975">
        <w:rPr>
          <w:rFonts w:eastAsia="Calibri"/>
          <w:lang w:eastAsia="en-US"/>
        </w:rPr>
        <w:t xml:space="preserve">Noteikt, ka reorganizācijas rezultātā Pievienojamā sabiedrība beidz pastāvēt. </w:t>
      </w:r>
    </w:p>
    <w:p w14:paraId="0D0C5370" w14:textId="77777777" w:rsidR="00223975" w:rsidRPr="00223975" w:rsidRDefault="00223975" w:rsidP="008F331D">
      <w:pPr>
        <w:numPr>
          <w:ilvl w:val="0"/>
          <w:numId w:val="42"/>
        </w:numPr>
        <w:ind w:left="709" w:hanging="709"/>
        <w:contextualSpacing/>
        <w:jc w:val="both"/>
        <w:rPr>
          <w:rFonts w:eastAsia="Calibri"/>
          <w:lang w:eastAsia="en-US"/>
        </w:rPr>
      </w:pPr>
      <w:r w:rsidRPr="00223975">
        <w:rPr>
          <w:rFonts w:eastAsia="Calibri"/>
          <w:lang w:eastAsia="en-US"/>
        </w:rPr>
        <w:t xml:space="preserve">Noteikt, ka Iegūstošās sabiedrības kapitāla daļu turētājs ir Madonas novada pašvaldība (reģistrācijas Nr. 90000054572) un pašvaldības kapitāla daļu turētāja lēmumus pieņem Madonas novada pašvaldības izpilddirektors. </w:t>
      </w:r>
    </w:p>
    <w:p w14:paraId="2CE9B047" w14:textId="77777777" w:rsidR="00223975" w:rsidRPr="00223975" w:rsidRDefault="00223975" w:rsidP="008F331D">
      <w:pPr>
        <w:numPr>
          <w:ilvl w:val="0"/>
          <w:numId w:val="42"/>
        </w:numPr>
        <w:ind w:left="709" w:hanging="709"/>
        <w:contextualSpacing/>
        <w:jc w:val="both"/>
        <w:rPr>
          <w:rFonts w:eastAsia="Calibri"/>
          <w:lang w:eastAsia="en-US"/>
        </w:rPr>
      </w:pPr>
      <w:r w:rsidRPr="00223975">
        <w:rPr>
          <w:rFonts w:eastAsia="Calibri"/>
          <w:lang w:eastAsia="en-US"/>
        </w:rPr>
        <w:t>Uzdot Pievienojamās sabiedrības un Iegūstošās sabiedrības valdes locekļiem saskaņā ar Latvijas Republikā spēkā esošajiem normatīvajiem aktiem veikt nepieciešamās darbības, lai reorganizētu pievienošanas ceļā Pievienojamo sabiedrību.</w:t>
      </w:r>
    </w:p>
    <w:p w14:paraId="1C1C5D4D" w14:textId="77777777" w:rsidR="00223975" w:rsidRPr="00223975" w:rsidRDefault="00223975" w:rsidP="008F331D">
      <w:pPr>
        <w:numPr>
          <w:ilvl w:val="0"/>
          <w:numId w:val="42"/>
        </w:numPr>
        <w:ind w:left="709" w:hanging="709"/>
        <w:contextualSpacing/>
        <w:jc w:val="both"/>
        <w:rPr>
          <w:rFonts w:eastAsia="Calibri"/>
          <w:lang w:eastAsia="en-US"/>
        </w:rPr>
      </w:pPr>
      <w:r w:rsidRPr="00223975">
        <w:rPr>
          <w:rFonts w:eastAsia="Calibri"/>
          <w:lang w:eastAsia="en-US"/>
        </w:rPr>
        <w:t>Kontroli par lēmuma izpildi uzdot veikt Madonas novada pašvaldības izpilddirektoram.</w:t>
      </w: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53EB5F0" w14:textId="2C495E62" w:rsidR="00AB7BEF" w:rsidRDefault="00AB7BEF" w:rsidP="008F331D">
      <w:pPr>
        <w:rPr>
          <w:i/>
          <w:iCs/>
        </w:rPr>
      </w:pPr>
    </w:p>
    <w:p w14:paraId="15B6AA46" w14:textId="50B172A2" w:rsidR="00AB7BEF" w:rsidRDefault="00AB7BEF" w:rsidP="008F331D">
      <w:pPr>
        <w:rPr>
          <w:i/>
          <w:iCs/>
        </w:rPr>
      </w:pPr>
    </w:p>
    <w:p w14:paraId="428786F2" w14:textId="77777777" w:rsidR="00BF2482" w:rsidRPr="00507A5F" w:rsidRDefault="00BF2482" w:rsidP="008F331D">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8F331D">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8F331D">
      <w:pPr>
        <w:jc w:val="both"/>
      </w:pPr>
    </w:p>
    <w:p w14:paraId="3A9B7736" w14:textId="79392B08" w:rsidR="000C13FA" w:rsidRDefault="000C13FA" w:rsidP="008F331D">
      <w:pPr>
        <w:jc w:val="both"/>
      </w:pPr>
    </w:p>
    <w:p w14:paraId="2134B8A3" w14:textId="77777777" w:rsidR="000C13FA" w:rsidRDefault="000C13FA" w:rsidP="008F331D">
      <w:pPr>
        <w:jc w:val="both"/>
      </w:pPr>
    </w:p>
    <w:p w14:paraId="6E49391D" w14:textId="77777777" w:rsidR="00927F0B" w:rsidRPr="00927F0B" w:rsidRDefault="00927F0B" w:rsidP="008F331D">
      <w:pPr>
        <w:rPr>
          <w:i/>
        </w:rPr>
      </w:pPr>
      <w:r w:rsidRPr="00927F0B">
        <w:rPr>
          <w:i/>
        </w:rPr>
        <w:t>Pujats 64807321</w:t>
      </w:r>
    </w:p>
    <w:p w14:paraId="5A72FC87" w14:textId="77777777" w:rsidR="00223181" w:rsidRPr="00507A5F" w:rsidRDefault="00223181" w:rsidP="008F331D">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339A" w14:textId="77777777" w:rsidR="00F079A0" w:rsidRDefault="00F079A0" w:rsidP="000509C7">
      <w:r>
        <w:separator/>
      </w:r>
    </w:p>
  </w:endnote>
  <w:endnote w:type="continuationSeparator" w:id="0">
    <w:p w14:paraId="5A84BBAD" w14:textId="77777777" w:rsidR="00F079A0" w:rsidRDefault="00F079A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DBD0" w14:textId="77777777" w:rsidR="00F079A0" w:rsidRDefault="00F079A0" w:rsidP="000509C7">
      <w:r>
        <w:separator/>
      </w:r>
    </w:p>
  </w:footnote>
  <w:footnote w:type="continuationSeparator" w:id="0">
    <w:p w14:paraId="4273201A" w14:textId="77777777" w:rsidR="00F079A0" w:rsidRDefault="00F079A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0"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9"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4"/>
  </w:num>
  <w:num w:numId="2">
    <w:abstractNumId w:val="6"/>
  </w:num>
  <w:num w:numId="3">
    <w:abstractNumId w:val="32"/>
  </w:num>
  <w:num w:numId="4">
    <w:abstractNumId w:val="18"/>
  </w:num>
  <w:num w:numId="5">
    <w:abstractNumId w:val="1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9"/>
  </w:num>
  <w:num w:numId="9">
    <w:abstractNumId w:val="16"/>
  </w:num>
  <w:num w:numId="10">
    <w:abstractNumId w:val="28"/>
  </w:num>
  <w:num w:numId="11">
    <w:abstractNumId w:val="13"/>
  </w:num>
  <w:num w:numId="12">
    <w:abstractNumId w:val="15"/>
  </w:num>
  <w:num w:numId="13">
    <w:abstractNumId w:val="30"/>
  </w:num>
  <w:num w:numId="14">
    <w:abstractNumId w:val="10"/>
  </w:num>
  <w:num w:numId="15">
    <w:abstractNumId w:val="27"/>
  </w:num>
  <w:num w:numId="16">
    <w:abstractNumId w:val="2"/>
  </w:num>
  <w:num w:numId="17">
    <w:abstractNumId w:val="19"/>
  </w:num>
  <w:num w:numId="18">
    <w:abstractNumId w:val="35"/>
  </w:num>
  <w:num w:numId="19">
    <w:abstractNumId w:val="5"/>
  </w:num>
  <w:num w:numId="20">
    <w:abstractNumId w:val="16"/>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0"/>
  </w:num>
  <w:num w:numId="26">
    <w:abstractNumId w:val="22"/>
  </w:num>
  <w:num w:numId="27">
    <w:abstractNumId w:val="4"/>
  </w:num>
  <w:num w:numId="28">
    <w:abstractNumId w:val="33"/>
  </w:num>
  <w:num w:numId="29">
    <w:abstractNumId w:val="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
  </w:num>
  <w:num w:numId="33">
    <w:abstractNumId w:val="25"/>
  </w:num>
  <w:num w:numId="34">
    <w:abstractNumId w:val="14"/>
  </w:num>
  <w:num w:numId="35">
    <w:abstractNumId w:val="37"/>
  </w:num>
  <w:num w:numId="36">
    <w:abstractNumId w:val="21"/>
  </w:num>
  <w:num w:numId="37">
    <w:abstractNumId w:val="8"/>
  </w:num>
  <w:num w:numId="38">
    <w:abstractNumId w:val="7"/>
  </w:num>
  <w:num w:numId="39">
    <w:abstractNumId w:val="11"/>
  </w:num>
  <w:num w:numId="40">
    <w:abstractNumId w:val="26"/>
  </w:num>
  <w:num w:numId="41">
    <w:abstractNumId w:val="24"/>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67C84"/>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6F0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1D"/>
    <w:rsid w:val="008F33D3"/>
    <w:rsid w:val="008F3871"/>
    <w:rsid w:val="00912A4B"/>
    <w:rsid w:val="0091494C"/>
    <w:rsid w:val="00921FF1"/>
    <w:rsid w:val="00926ADD"/>
    <w:rsid w:val="00927F0B"/>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363B"/>
    <w:rsid w:val="00B371EE"/>
    <w:rsid w:val="00B403A4"/>
    <w:rsid w:val="00B601AC"/>
    <w:rsid w:val="00B83120"/>
    <w:rsid w:val="00BA2362"/>
    <w:rsid w:val="00BA5079"/>
    <w:rsid w:val="00BA5104"/>
    <w:rsid w:val="00BA5616"/>
    <w:rsid w:val="00BA5BA2"/>
    <w:rsid w:val="00BC6777"/>
    <w:rsid w:val="00BE280C"/>
    <w:rsid w:val="00BF197C"/>
    <w:rsid w:val="00BF2482"/>
    <w:rsid w:val="00BF6212"/>
    <w:rsid w:val="00BF6DB3"/>
    <w:rsid w:val="00C00F73"/>
    <w:rsid w:val="00C02533"/>
    <w:rsid w:val="00C23507"/>
    <w:rsid w:val="00C32EA5"/>
    <w:rsid w:val="00C356BA"/>
    <w:rsid w:val="00C41877"/>
    <w:rsid w:val="00C4230F"/>
    <w:rsid w:val="00C46488"/>
    <w:rsid w:val="00C519F8"/>
    <w:rsid w:val="00C630AA"/>
    <w:rsid w:val="00C63D65"/>
    <w:rsid w:val="00C763C4"/>
    <w:rsid w:val="00C84D08"/>
    <w:rsid w:val="00C86D28"/>
    <w:rsid w:val="00CB7022"/>
    <w:rsid w:val="00CD43C0"/>
    <w:rsid w:val="00CD4B3F"/>
    <w:rsid w:val="00CD6B1A"/>
    <w:rsid w:val="00D030D4"/>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2304"/>
    <w:rsid w:val="00EF3036"/>
    <w:rsid w:val="00F079A0"/>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228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Pages>
  <Words>3471</Words>
  <Characters>1979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158</cp:revision>
  <cp:lastPrinted>2024-02-28T16:04:00Z</cp:lastPrinted>
  <dcterms:created xsi:type="dcterms:W3CDTF">2024-02-20T07:30:00Z</dcterms:created>
  <dcterms:modified xsi:type="dcterms:W3CDTF">2024-03-29T08:54:00Z</dcterms:modified>
</cp:coreProperties>
</file>